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2" w:type="pct"/>
        <w:tblInd w:w="-33" w:type="dxa"/>
        <w:tblLook w:val="04A0"/>
      </w:tblPr>
      <w:tblGrid>
        <w:gridCol w:w="4919"/>
        <w:gridCol w:w="4752"/>
      </w:tblGrid>
      <w:tr w:rsidR="002C1B88" w:rsidTr="002C1B88">
        <w:trPr>
          <w:trHeight w:val="2218"/>
        </w:trPr>
        <w:tc>
          <w:tcPr>
            <w:tcW w:w="5206" w:type="dxa"/>
          </w:tcPr>
          <w:p w:rsidR="002C1B88" w:rsidRDefault="002C1B88">
            <w:pPr>
              <w:spacing w:after="0" w:line="240" w:lineRule="auto"/>
              <w:rPr>
                <w:rFonts w:ascii="Times New Roman" w:hAnsi="Times New Roman" w:cs="Times New Roman"/>
                <w:sz w:val="24"/>
                <w:szCs w:val="24"/>
              </w:rPr>
            </w:pPr>
          </w:p>
          <w:p w:rsidR="002C1B88" w:rsidRDefault="002C1B8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Рассмотрено: </w:t>
            </w:r>
          </w:p>
          <w:p w:rsidR="002C1B88" w:rsidRDefault="002C1B88">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совета</w:t>
            </w:r>
          </w:p>
          <w:p w:rsidR="002C1B88" w:rsidRDefault="002C1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отделения тех. специальностей </w:t>
            </w:r>
          </w:p>
          <w:p w:rsidR="002C1B88" w:rsidRDefault="002C1B88">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__1_</w:t>
            </w:r>
          </w:p>
          <w:p w:rsidR="002C1B88" w:rsidRDefault="002C1B88">
            <w:pPr>
              <w:spacing w:after="0" w:line="240" w:lineRule="auto"/>
              <w:rPr>
                <w:rFonts w:ascii="Times New Roman" w:hAnsi="Times New Roman" w:cs="Times New Roman"/>
                <w:sz w:val="24"/>
                <w:szCs w:val="24"/>
              </w:rPr>
            </w:pPr>
            <w:r>
              <w:rPr>
                <w:rFonts w:ascii="Times New Roman" w:hAnsi="Times New Roman" w:cs="Times New Roman"/>
                <w:sz w:val="24"/>
                <w:szCs w:val="24"/>
              </w:rPr>
              <w:t>«____» __сентября__2024 г.</w:t>
            </w:r>
          </w:p>
          <w:p w:rsidR="002C1B88" w:rsidRDefault="002C1B88">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совета</w:t>
            </w:r>
          </w:p>
          <w:p w:rsidR="002C1B88" w:rsidRDefault="002C1B88">
            <w:pPr>
              <w:spacing w:after="0" w:line="240" w:lineRule="auto"/>
              <w:rPr>
                <w:rFonts w:ascii="Times New Roman" w:hAnsi="Times New Roman" w:cs="Times New Roman"/>
                <w:sz w:val="24"/>
                <w:szCs w:val="24"/>
              </w:rPr>
            </w:pPr>
            <w:r>
              <w:rPr>
                <w:rFonts w:ascii="Times New Roman" w:hAnsi="Times New Roman" w:cs="Times New Roman"/>
                <w:sz w:val="24"/>
                <w:szCs w:val="24"/>
              </w:rPr>
              <w:t>_________С.П.Мельницкая</w:t>
            </w:r>
          </w:p>
        </w:tc>
        <w:tc>
          <w:tcPr>
            <w:tcW w:w="5207" w:type="dxa"/>
          </w:tcPr>
          <w:p w:rsidR="002C1B88" w:rsidRDefault="002C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C1B88" w:rsidRDefault="002C1B8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Утверждаю:</w:t>
            </w:r>
          </w:p>
          <w:p w:rsidR="002C1B88" w:rsidRDefault="002C1B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Директор «ВАТ»</w:t>
            </w:r>
          </w:p>
          <w:p w:rsidR="002C1B88" w:rsidRDefault="0028133A" w:rsidP="002813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C1B88">
              <w:rPr>
                <w:rFonts w:ascii="Times New Roman" w:hAnsi="Times New Roman" w:cs="Times New Roman"/>
                <w:sz w:val="24"/>
                <w:szCs w:val="24"/>
              </w:rPr>
              <w:t>_________</w:t>
            </w:r>
            <w:r>
              <w:rPr>
                <w:rFonts w:ascii="Times New Roman" w:hAnsi="Times New Roman" w:cs="Times New Roman"/>
                <w:sz w:val="24"/>
                <w:szCs w:val="24"/>
              </w:rPr>
              <w:t xml:space="preserve">   </w:t>
            </w:r>
            <w:proofErr w:type="spellStart"/>
            <w:r w:rsidR="002C1B88">
              <w:rPr>
                <w:rFonts w:ascii="Times New Roman" w:hAnsi="Times New Roman" w:cs="Times New Roman"/>
                <w:sz w:val="24"/>
                <w:szCs w:val="24"/>
              </w:rPr>
              <w:t>А.О.Евлантьев</w:t>
            </w:r>
            <w:proofErr w:type="spellEnd"/>
          </w:p>
          <w:p w:rsidR="002C1B88" w:rsidRDefault="002C1B88">
            <w:pPr>
              <w:spacing w:after="0" w:line="240" w:lineRule="auto"/>
              <w:jc w:val="right"/>
              <w:rPr>
                <w:rFonts w:ascii="Times New Roman" w:hAnsi="Times New Roman" w:cs="Times New Roman"/>
                <w:sz w:val="24"/>
                <w:szCs w:val="24"/>
              </w:rPr>
            </w:pPr>
          </w:p>
          <w:p w:rsidR="002C1B88" w:rsidRDefault="002C1B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 __________ 2024 г.</w:t>
            </w:r>
          </w:p>
        </w:tc>
      </w:tr>
    </w:tbl>
    <w:p w:rsidR="002C1B88" w:rsidRDefault="002C1B88" w:rsidP="002C1B88">
      <w:pPr>
        <w:spacing w:after="0" w:line="360" w:lineRule="auto"/>
        <w:rPr>
          <w:rFonts w:ascii="Times New Roman" w:hAnsi="Times New Roman" w:cs="Times New Roman"/>
          <w:sz w:val="28"/>
          <w:szCs w:val="28"/>
        </w:rPr>
      </w:pPr>
    </w:p>
    <w:p w:rsidR="002C1B88" w:rsidRDefault="002C1B88" w:rsidP="002C1B88">
      <w:pPr>
        <w:spacing w:after="0" w:line="360" w:lineRule="auto"/>
        <w:rPr>
          <w:rFonts w:ascii="Times New Roman" w:hAnsi="Times New Roman" w:cs="Times New Roman"/>
          <w:sz w:val="28"/>
          <w:szCs w:val="28"/>
        </w:rPr>
      </w:pPr>
    </w:p>
    <w:p w:rsidR="002C1B88" w:rsidRDefault="002C1B88" w:rsidP="002C1B88">
      <w:pPr>
        <w:pStyle w:val="FR1"/>
        <w:spacing w:before="0" w:line="360" w:lineRule="auto"/>
        <w:ind w:left="0" w:right="0" w:firstLine="567"/>
      </w:pPr>
    </w:p>
    <w:p w:rsidR="002C1B88" w:rsidRDefault="002C1B88" w:rsidP="002C1B88">
      <w:pPr>
        <w:pStyle w:val="FR2"/>
        <w:spacing w:before="0" w:line="360" w:lineRule="auto"/>
        <w:ind w:firstLine="567"/>
        <w:jc w:val="center"/>
        <w:rPr>
          <w:b/>
          <w:i w:val="0"/>
          <w:noProof/>
          <w:sz w:val="28"/>
          <w:szCs w:val="28"/>
        </w:rPr>
      </w:pPr>
    </w:p>
    <w:p w:rsidR="002C1B88" w:rsidRDefault="002C1B88" w:rsidP="002C1B88">
      <w:pPr>
        <w:pStyle w:val="FR2"/>
        <w:spacing w:before="0" w:line="360" w:lineRule="auto"/>
        <w:ind w:firstLine="567"/>
        <w:jc w:val="center"/>
        <w:rPr>
          <w:b/>
          <w:i w:val="0"/>
          <w:noProof/>
          <w:sz w:val="28"/>
          <w:szCs w:val="28"/>
        </w:rPr>
      </w:pPr>
    </w:p>
    <w:p w:rsidR="002C1B88" w:rsidRDefault="002C1B88" w:rsidP="002C1B88">
      <w:pPr>
        <w:pStyle w:val="FR2"/>
        <w:spacing w:before="0" w:line="360" w:lineRule="auto"/>
        <w:ind w:firstLine="567"/>
        <w:jc w:val="center"/>
        <w:rPr>
          <w:b/>
          <w:i w:val="0"/>
          <w:noProof/>
          <w:sz w:val="28"/>
          <w:szCs w:val="28"/>
        </w:rPr>
      </w:pPr>
      <w:r>
        <w:rPr>
          <w:b/>
          <w:i w:val="0"/>
          <w:noProof/>
          <w:sz w:val="28"/>
          <w:szCs w:val="28"/>
        </w:rPr>
        <w:t xml:space="preserve">Программа </w:t>
      </w:r>
    </w:p>
    <w:p w:rsidR="002C1B88" w:rsidRDefault="002C1B88" w:rsidP="002C1B88">
      <w:pPr>
        <w:pStyle w:val="FR2"/>
        <w:spacing w:before="0" w:line="360" w:lineRule="auto"/>
        <w:ind w:firstLine="567"/>
        <w:jc w:val="center"/>
        <w:rPr>
          <w:b/>
          <w:i w:val="0"/>
          <w:noProof/>
          <w:sz w:val="28"/>
          <w:szCs w:val="28"/>
        </w:rPr>
      </w:pPr>
      <w:r>
        <w:rPr>
          <w:b/>
          <w:i w:val="0"/>
          <w:noProof/>
          <w:sz w:val="28"/>
          <w:szCs w:val="28"/>
        </w:rPr>
        <w:t>государственной (итоговой) аттестации</w:t>
      </w:r>
    </w:p>
    <w:p w:rsidR="002C1B88" w:rsidRDefault="002C1B88" w:rsidP="002C1B88">
      <w:pPr>
        <w:pStyle w:val="FR2"/>
        <w:spacing w:before="0" w:line="360" w:lineRule="auto"/>
        <w:ind w:firstLine="567"/>
        <w:jc w:val="center"/>
        <w:rPr>
          <w:b/>
          <w:i w:val="0"/>
          <w:noProof/>
          <w:sz w:val="28"/>
          <w:szCs w:val="28"/>
        </w:rPr>
      </w:pPr>
    </w:p>
    <w:p w:rsidR="002C1B88" w:rsidRDefault="002C1B88" w:rsidP="002C1B88">
      <w:pPr>
        <w:pStyle w:val="FR2"/>
        <w:spacing w:before="0" w:line="360" w:lineRule="auto"/>
        <w:ind w:firstLine="567"/>
        <w:jc w:val="center"/>
        <w:rPr>
          <w:b/>
          <w:i w:val="0"/>
          <w:noProof/>
          <w:sz w:val="28"/>
          <w:szCs w:val="28"/>
        </w:rPr>
      </w:pPr>
    </w:p>
    <w:p w:rsidR="002C1B88" w:rsidRDefault="002C1B88" w:rsidP="002C1B88">
      <w:pPr>
        <w:pStyle w:val="FR2"/>
        <w:spacing w:before="0" w:line="360" w:lineRule="auto"/>
        <w:ind w:firstLine="567"/>
        <w:jc w:val="center"/>
        <w:rPr>
          <w:b/>
          <w:i w:val="0"/>
          <w:noProof/>
          <w:sz w:val="28"/>
          <w:szCs w:val="28"/>
        </w:rPr>
      </w:pPr>
    </w:p>
    <w:p w:rsidR="002C1B88" w:rsidRDefault="002C1B88" w:rsidP="002C1B88">
      <w:pPr>
        <w:pStyle w:val="10"/>
        <w:spacing w:line="360" w:lineRule="auto"/>
        <w:ind w:left="0" w:right="0" w:firstLine="567"/>
        <w:rPr>
          <w:b/>
          <w:sz w:val="28"/>
          <w:szCs w:val="28"/>
          <w:u w:val="single"/>
        </w:rPr>
      </w:pPr>
      <w:r>
        <w:rPr>
          <w:b/>
          <w:sz w:val="28"/>
          <w:szCs w:val="28"/>
        </w:rPr>
        <w:t>Профессия 35.01.27   «Мастер сельскохозяйственного производства»</w:t>
      </w:r>
    </w:p>
    <w:p w:rsidR="002C1B88" w:rsidRDefault="002C1B88" w:rsidP="002C1B88">
      <w:pPr>
        <w:pStyle w:val="10"/>
        <w:spacing w:line="360" w:lineRule="auto"/>
        <w:ind w:left="0" w:right="0" w:firstLine="567"/>
        <w:rPr>
          <w:b/>
          <w:sz w:val="28"/>
          <w:szCs w:val="28"/>
          <w:u w:val="single"/>
        </w:rPr>
      </w:pPr>
    </w:p>
    <w:p w:rsidR="002C1B88" w:rsidRDefault="002C1B88" w:rsidP="002C1B88">
      <w:pPr>
        <w:pStyle w:val="FR2"/>
        <w:spacing w:before="0" w:line="360" w:lineRule="auto"/>
        <w:ind w:firstLine="567"/>
        <w:jc w:val="center"/>
        <w:rPr>
          <w:i w:val="0"/>
          <w:noProof/>
          <w:sz w:val="28"/>
          <w:szCs w:val="28"/>
          <w:u w:val="single"/>
        </w:rPr>
      </w:pPr>
    </w:p>
    <w:p w:rsidR="002C1B88" w:rsidRDefault="002C1B88" w:rsidP="002C1B88">
      <w:pPr>
        <w:pStyle w:val="FR2"/>
        <w:spacing w:before="0" w:line="360" w:lineRule="auto"/>
        <w:ind w:firstLine="567"/>
        <w:jc w:val="center"/>
        <w:rPr>
          <w:i w:val="0"/>
          <w:noProof/>
          <w:sz w:val="28"/>
          <w:szCs w:val="28"/>
          <w:u w:val="single"/>
        </w:rPr>
      </w:pPr>
    </w:p>
    <w:p w:rsidR="002C1B88" w:rsidRDefault="002C1B88" w:rsidP="002C1B88">
      <w:pPr>
        <w:pStyle w:val="FR2"/>
        <w:spacing w:before="0" w:line="360" w:lineRule="auto"/>
        <w:ind w:firstLine="567"/>
        <w:jc w:val="center"/>
        <w:rPr>
          <w:i w:val="0"/>
          <w:noProof/>
          <w:sz w:val="28"/>
          <w:szCs w:val="28"/>
          <w:u w:val="single"/>
        </w:rPr>
      </w:pPr>
    </w:p>
    <w:p w:rsidR="002C1B88" w:rsidRDefault="002C1B88" w:rsidP="002C1B88">
      <w:pPr>
        <w:pStyle w:val="FR2"/>
        <w:spacing w:before="0" w:line="360" w:lineRule="auto"/>
        <w:ind w:firstLine="567"/>
        <w:jc w:val="center"/>
        <w:rPr>
          <w:i w:val="0"/>
          <w:noProof/>
          <w:sz w:val="28"/>
          <w:szCs w:val="28"/>
          <w:u w:val="single"/>
        </w:rPr>
      </w:pPr>
    </w:p>
    <w:p w:rsidR="002C1B88" w:rsidRDefault="002C1B88" w:rsidP="002C1B88">
      <w:pPr>
        <w:pStyle w:val="FR2"/>
        <w:spacing w:before="0" w:line="360" w:lineRule="auto"/>
        <w:ind w:firstLine="567"/>
        <w:jc w:val="center"/>
        <w:rPr>
          <w:i w:val="0"/>
          <w:noProof/>
          <w:sz w:val="28"/>
          <w:szCs w:val="28"/>
          <w:u w:val="single"/>
        </w:rPr>
      </w:pPr>
    </w:p>
    <w:p w:rsidR="002C1B88" w:rsidRDefault="002C1B88" w:rsidP="002C1B88">
      <w:pPr>
        <w:spacing w:after="0" w:line="360" w:lineRule="auto"/>
        <w:rPr>
          <w:rFonts w:ascii="Times New Roman" w:eastAsia="Times New Roman" w:hAnsi="Times New Roman" w:cs="Times New Roman"/>
          <w:noProof/>
          <w:snapToGrid w:val="0"/>
          <w:sz w:val="28"/>
          <w:szCs w:val="28"/>
          <w:u w:val="single"/>
        </w:rPr>
      </w:pPr>
    </w:p>
    <w:p w:rsidR="002C1B88" w:rsidRDefault="002C1B88" w:rsidP="002C1B88">
      <w:pPr>
        <w:spacing w:after="0" w:line="360" w:lineRule="auto"/>
        <w:rPr>
          <w:rFonts w:ascii="Times New Roman" w:hAnsi="Times New Roman" w:cs="Times New Roman"/>
          <w:b/>
          <w:sz w:val="28"/>
          <w:szCs w:val="28"/>
        </w:rPr>
      </w:pPr>
    </w:p>
    <w:p w:rsidR="002C1B88" w:rsidRDefault="002C1B88" w:rsidP="002C1B88">
      <w:pPr>
        <w:spacing w:after="0" w:line="360" w:lineRule="auto"/>
        <w:rPr>
          <w:rFonts w:ascii="Times New Roman" w:hAnsi="Times New Roman" w:cs="Times New Roman"/>
          <w:b/>
          <w:sz w:val="28"/>
          <w:szCs w:val="28"/>
        </w:rPr>
      </w:pPr>
    </w:p>
    <w:p w:rsidR="002C1B88" w:rsidRDefault="002C1B88" w:rsidP="002C1B88">
      <w:pPr>
        <w:spacing w:after="0" w:line="360" w:lineRule="auto"/>
        <w:rPr>
          <w:rFonts w:ascii="Times New Roman" w:hAnsi="Times New Roman" w:cs="Times New Roman"/>
          <w:b/>
          <w:sz w:val="28"/>
          <w:szCs w:val="28"/>
        </w:rPr>
      </w:pPr>
    </w:p>
    <w:p w:rsidR="002C1B88" w:rsidRDefault="002C1B88" w:rsidP="002C1B88">
      <w:pPr>
        <w:spacing w:after="0" w:line="360" w:lineRule="auto"/>
        <w:rPr>
          <w:rFonts w:ascii="Times New Roman" w:hAnsi="Times New Roman" w:cs="Times New Roman"/>
          <w:b/>
          <w:sz w:val="28"/>
          <w:szCs w:val="28"/>
        </w:rPr>
      </w:pPr>
    </w:p>
    <w:p w:rsidR="002C1B88" w:rsidRDefault="002C1B88" w:rsidP="002C1B88">
      <w:pPr>
        <w:spacing w:after="0" w:line="360" w:lineRule="auto"/>
        <w:rPr>
          <w:rFonts w:ascii="Times New Roman" w:hAnsi="Times New Roman" w:cs="Times New Roman"/>
          <w:b/>
          <w:sz w:val="28"/>
          <w:szCs w:val="28"/>
        </w:rPr>
      </w:pPr>
    </w:p>
    <w:p w:rsidR="002C1B88" w:rsidRDefault="002C1B88" w:rsidP="002C1B88">
      <w:pPr>
        <w:spacing w:after="0" w:line="360" w:lineRule="auto"/>
        <w:rPr>
          <w:rFonts w:ascii="Times New Roman" w:hAnsi="Times New Roman" w:cs="Times New Roman"/>
          <w:b/>
          <w:sz w:val="28"/>
          <w:szCs w:val="28"/>
        </w:rPr>
      </w:pPr>
    </w:p>
    <w:p w:rsidR="002C1B88" w:rsidRDefault="002C1B88" w:rsidP="002C1B8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Валдай</w:t>
      </w:r>
    </w:p>
    <w:p w:rsidR="002C1B88" w:rsidRDefault="002C1B88" w:rsidP="002C1B88">
      <w:pPr>
        <w:spacing w:after="0" w:line="240" w:lineRule="auto"/>
        <w:ind w:firstLine="567"/>
        <w:jc w:val="center"/>
        <w:rPr>
          <w:rFonts w:ascii="Times New Roman" w:hAnsi="Times New Roman" w:cs="Times New Roman"/>
          <w:b/>
          <w:sz w:val="24"/>
          <w:szCs w:val="24"/>
        </w:rPr>
      </w:pPr>
    </w:p>
    <w:p w:rsidR="002C1B88" w:rsidRDefault="002C1B88" w:rsidP="002C1B88">
      <w:pPr>
        <w:pStyle w:val="FR1"/>
        <w:spacing w:before="0" w:line="360" w:lineRule="auto"/>
        <w:ind w:left="0" w:right="0" w:firstLine="567"/>
        <w:jc w:val="both"/>
        <w:rPr>
          <w:b w:val="0"/>
          <w:bCs w:val="0"/>
          <w:snapToGrid w:val="0"/>
          <w:sz w:val="24"/>
          <w:szCs w:val="24"/>
        </w:rPr>
      </w:pPr>
      <w:r>
        <w:rPr>
          <w:b w:val="0"/>
          <w:bCs w:val="0"/>
          <w:snapToGrid w:val="0"/>
          <w:sz w:val="24"/>
          <w:szCs w:val="24"/>
        </w:rPr>
        <w:lastRenderedPageBreak/>
        <w:t>Программа государственной (итоговой) аттестации разработана на основе Федерального государственного образовательного стандарта профессии 35.01.27 «</w:t>
      </w:r>
      <w:r w:rsidRPr="002C1B88">
        <w:rPr>
          <w:b w:val="0"/>
          <w:sz w:val="24"/>
          <w:szCs w:val="24"/>
        </w:rPr>
        <w:t>Мастер сельскохозяйственного производства</w:t>
      </w:r>
      <w:r>
        <w:rPr>
          <w:b w:val="0"/>
          <w:bCs w:val="0"/>
          <w:snapToGrid w:val="0"/>
          <w:sz w:val="24"/>
          <w:szCs w:val="24"/>
        </w:rPr>
        <w:t xml:space="preserve">»   среднего профессионального образования  базовой подготовки. </w:t>
      </w:r>
    </w:p>
    <w:p w:rsidR="002C1B88" w:rsidRDefault="002C1B88" w:rsidP="002C1B88">
      <w:pPr>
        <w:pStyle w:val="FR2"/>
        <w:spacing w:before="0"/>
        <w:ind w:firstLine="567"/>
        <w:jc w:val="both"/>
        <w:rPr>
          <w:i w:val="0"/>
          <w:sz w:val="24"/>
          <w:szCs w:val="24"/>
        </w:rPr>
      </w:pPr>
      <w:r>
        <w:rPr>
          <w:i w:val="0"/>
          <w:sz w:val="24"/>
          <w:szCs w:val="24"/>
        </w:rPr>
        <w:t xml:space="preserve"> </w:t>
      </w:r>
    </w:p>
    <w:p w:rsidR="002C1B88" w:rsidRDefault="002C1B88" w:rsidP="002C1B88">
      <w:pPr>
        <w:pStyle w:val="FR2"/>
        <w:spacing w:before="0"/>
        <w:ind w:firstLine="567"/>
        <w:jc w:val="both"/>
        <w:rPr>
          <w:i w:val="0"/>
          <w:sz w:val="24"/>
          <w:szCs w:val="24"/>
        </w:rPr>
      </w:pPr>
    </w:p>
    <w:p w:rsidR="002C1B88" w:rsidRDefault="002C1B88" w:rsidP="002C1B88">
      <w:pPr>
        <w:pStyle w:val="FR2"/>
        <w:spacing w:before="0"/>
        <w:ind w:firstLine="567"/>
        <w:jc w:val="both"/>
        <w:rPr>
          <w:i w:val="0"/>
          <w:sz w:val="24"/>
          <w:szCs w:val="24"/>
        </w:rPr>
      </w:pPr>
    </w:p>
    <w:p w:rsidR="002C1B88" w:rsidRDefault="002C1B88" w:rsidP="002C1B88">
      <w:pPr>
        <w:pStyle w:val="FR2"/>
        <w:spacing w:before="0"/>
        <w:ind w:firstLine="567"/>
        <w:jc w:val="both"/>
        <w:rPr>
          <w:i w:val="0"/>
          <w:sz w:val="24"/>
          <w:szCs w:val="24"/>
        </w:rPr>
      </w:pPr>
    </w:p>
    <w:p w:rsidR="002C1B88" w:rsidRDefault="002C1B88" w:rsidP="002C1B88">
      <w:pPr>
        <w:pStyle w:val="FR2"/>
        <w:spacing w:before="0"/>
        <w:ind w:firstLine="567"/>
        <w:jc w:val="both"/>
        <w:rPr>
          <w:i w:val="0"/>
          <w:noProof/>
          <w:sz w:val="24"/>
          <w:szCs w:val="24"/>
        </w:rPr>
      </w:pPr>
    </w:p>
    <w:p w:rsidR="002C1B88" w:rsidRDefault="00E165FF" w:rsidP="00E165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E165FF" w:rsidRDefault="00E165FF" w:rsidP="00E165FF">
      <w:pPr>
        <w:spacing w:line="360" w:lineRule="auto"/>
        <w:rPr>
          <w:rFonts w:ascii="Times New Roman" w:hAnsi="Times New Roman" w:cs="Times New Roman"/>
          <w:b/>
          <w:sz w:val="24"/>
          <w:szCs w:val="24"/>
        </w:rPr>
      </w:pPr>
    </w:p>
    <w:p w:rsidR="002C1B88" w:rsidRDefault="002C1B88" w:rsidP="002C1B88">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Пояснительная записка</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государственной итоговой аттестации разработана в соответствии с порядком проведения итоговой государственной аттестации выпускников профессиональных  образовательных учреждений.</w:t>
      </w:r>
      <w:r>
        <w:rPr>
          <w:rFonts w:ascii="Times New Roman" w:hAnsi="Times New Roman" w:cs="Times New Roman"/>
          <w:sz w:val="24"/>
          <w:szCs w:val="24"/>
        </w:rPr>
        <w:tab/>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Целью итоговой государственной аттестации является установление степени готовности обучающегося к самостоятельной деятельности 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профессиональных компетенций в соответствии с федеральным государственным образовательном стандартом среднего профессионального образования по профессии 35.01.27  «</w:t>
      </w:r>
      <w:r w:rsidRPr="002C1B88">
        <w:rPr>
          <w:rFonts w:ascii="Times New Roman" w:hAnsi="Times New Roman" w:cs="Times New Roman"/>
          <w:sz w:val="24"/>
          <w:szCs w:val="24"/>
        </w:rPr>
        <w:t>Мастер сельскохозяйственного производства</w:t>
      </w:r>
      <w:r>
        <w:rPr>
          <w:rFonts w:ascii="Times New Roman" w:hAnsi="Times New Roman" w:cs="Times New Roman"/>
          <w:sz w:val="24"/>
          <w:szCs w:val="24"/>
        </w:rPr>
        <w:t xml:space="preserve">». </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 Это требует перестройки всего учебного процесса, в том числе критериев и подходов к итоговой государственной аттестации студентов. Конечной целью обучения является подготовка специалиста, обладающего не только и не столько совокупностью теоретических знаний, но, в первую очередь, специалиста, готового решать профессиональные задачи. Отсюда коренным образом меняется подход к оценке качества подготовки специалиста. Упор делается на оценку умения самостоятельно решать профессиональные задачи. Поэтому при разработке программы итоговой государственной аттестации учтена степень использования наиболее значимых профессиональных компетенций  и необходимых для них знаний и умений. Видом государственной итоговой аттестации выпускников по профессии  35.01.27 «</w:t>
      </w:r>
      <w:r w:rsidRPr="002C1B88">
        <w:rPr>
          <w:rFonts w:ascii="Times New Roman" w:hAnsi="Times New Roman" w:cs="Times New Roman"/>
          <w:sz w:val="24"/>
          <w:szCs w:val="24"/>
        </w:rPr>
        <w:t>Мастер сельскохозяйственного производства»</w:t>
      </w:r>
      <w:r>
        <w:rPr>
          <w:rFonts w:ascii="Times New Roman" w:hAnsi="Times New Roman" w:cs="Times New Roman"/>
          <w:sz w:val="24"/>
          <w:szCs w:val="24"/>
        </w:rPr>
        <w:t xml:space="preserve"> является демонстрационный экзамен. Этот вид испытаний позволяет наиболее полно проверить освоенность выпускником профессиональных компетенций, готовность выпускника к выполнению видов деятельности, предусмотренных ФГОС.</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итоговой аттестации в форме демонстрационного экзамена позволяет одновременно решить целый комплекс задач:</w:t>
      </w:r>
    </w:p>
    <w:p w:rsidR="002C1B88" w:rsidRDefault="002C1B88" w:rsidP="002C1B88">
      <w:pPr>
        <w:spacing w:after="0" w:line="240" w:lineRule="auto"/>
        <w:ind w:left="360"/>
        <w:jc w:val="both"/>
        <w:rPr>
          <w:rFonts w:ascii="Times New Roman" w:hAnsi="Times New Roman" w:cs="Times New Roman"/>
          <w:sz w:val="24"/>
          <w:szCs w:val="24"/>
          <w:lang w:eastAsia="ko-KR"/>
        </w:rPr>
      </w:pPr>
      <w:r>
        <w:rPr>
          <w:rFonts w:ascii="Times New Roman" w:hAnsi="Times New Roman" w:cs="Times New Roman"/>
          <w:sz w:val="24"/>
          <w:szCs w:val="24"/>
          <w:lang w:eastAsia="ko-KR"/>
        </w:rPr>
        <w:t>-  ориентирует каждого преподавателя и студента на конечный результат;</w:t>
      </w:r>
    </w:p>
    <w:p w:rsidR="002C1B88" w:rsidRDefault="002C1B88" w:rsidP="002C1B88">
      <w:pPr>
        <w:spacing w:after="0" w:line="240" w:lineRule="auto"/>
        <w:ind w:left="360"/>
        <w:jc w:val="both"/>
        <w:rPr>
          <w:rFonts w:ascii="Times New Roman" w:hAnsi="Times New Roman" w:cs="Times New Roman"/>
          <w:sz w:val="24"/>
          <w:szCs w:val="24"/>
          <w:lang w:eastAsia="ko-KR"/>
        </w:rPr>
      </w:pPr>
      <w:r>
        <w:rPr>
          <w:rFonts w:ascii="Times New Roman" w:hAnsi="Times New Roman" w:cs="Times New Roman"/>
          <w:sz w:val="24"/>
          <w:szCs w:val="24"/>
          <w:lang w:eastAsia="ko-KR"/>
        </w:rPr>
        <w:t>- позволяет в комплексе повысить качество учебного процесса, качество подготовки специалиста и объективность оценки подготовленности выпускников;</w:t>
      </w:r>
    </w:p>
    <w:p w:rsidR="002C1B88" w:rsidRDefault="002C1B88" w:rsidP="002C1B88">
      <w:pPr>
        <w:spacing w:after="0" w:line="240" w:lineRule="auto"/>
        <w:ind w:left="360"/>
        <w:jc w:val="both"/>
        <w:rPr>
          <w:rFonts w:ascii="Times New Roman" w:hAnsi="Times New Roman" w:cs="Times New Roman"/>
          <w:sz w:val="24"/>
          <w:szCs w:val="24"/>
          <w:lang w:eastAsia="ko-KR"/>
        </w:rPr>
      </w:pPr>
      <w:r>
        <w:rPr>
          <w:rFonts w:ascii="Times New Roman" w:hAnsi="Times New Roman" w:cs="Times New Roman"/>
          <w:sz w:val="24"/>
          <w:szCs w:val="24"/>
          <w:lang w:eastAsia="ko-KR"/>
        </w:rPr>
        <w:t>- систематизирует знания, умения и опыт, полученные студентами во время обучения и во время прохождения производственной практики;</w:t>
      </w:r>
    </w:p>
    <w:p w:rsidR="002C1B88" w:rsidRDefault="002C1B88" w:rsidP="002C1B88">
      <w:pPr>
        <w:spacing w:after="0" w:line="240" w:lineRule="auto"/>
        <w:ind w:left="360"/>
        <w:jc w:val="both"/>
        <w:rPr>
          <w:rFonts w:ascii="Times New Roman" w:hAnsi="Times New Roman" w:cs="Times New Roman"/>
          <w:sz w:val="24"/>
          <w:szCs w:val="24"/>
          <w:lang w:eastAsia="ko-KR"/>
        </w:rPr>
      </w:pPr>
      <w:r>
        <w:rPr>
          <w:rFonts w:ascii="Times New Roman" w:hAnsi="Times New Roman" w:cs="Times New Roman"/>
          <w:sz w:val="24"/>
          <w:szCs w:val="24"/>
          <w:lang w:eastAsia="ko-KR"/>
        </w:rPr>
        <w:t>- расширяет полученные знания за счет изучения новейших практических разработок и проведения исследований в профессиональной сфере;</w:t>
      </w:r>
    </w:p>
    <w:p w:rsidR="002C1B88" w:rsidRDefault="002C1B88" w:rsidP="002C1B8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eastAsia="ko-KR"/>
        </w:rPr>
        <w:t>- значительно</w:t>
      </w:r>
      <w:r>
        <w:rPr>
          <w:rFonts w:ascii="Times New Roman" w:hAnsi="Times New Roman" w:cs="Times New Roman"/>
          <w:sz w:val="24"/>
          <w:szCs w:val="24"/>
        </w:rPr>
        <w:t xml:space="preserve"> упрощает практическую работу Государственной аттестационной комиссии при оценивании выпускника (наличие перечня профессиональных компетенций, которые находят отражение в выпускной работе).</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итоговой государственной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Программа государственной итоговой аттестации является частью программы профессиональной подготовки квалифицированных рабочих по профессии  35.01.27 «</w:t>
      </w:r>
      <w:r w:rsidRPr="002C1B88">
        <w:rPr>
          <w:rFonts w:ascii="Times New Roman" w:hAnsi="Times New Roman" w:cs="Times New Roman"/>
          <w:sz w:val="24"/>
          <w:szCs w:val="24"/>
        </w:rPr>
        <w:t>Мастер сельскохозяйственного производства</w:t>
      </w:r>
      <w:r>
        <w:rPr>
          <w:rFonts w:ascii="Times New Roman" w:hAnsi="Times New Roman" w:cs="Times New Roman"/>
          <w:sz w:val="24"/>
          <w:szCs w:val="24"/>
        </w:rPr>
        <w:t>».</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Программе государственной итоговой аттестации определены:</w:t>
      </w:r>
    </w:p>
    <w:p w:rsidR="002C1B88" w:rsidRDefault="002C1B88" w:rsidP="002C1B88">
      <w:pPr>
        <w:spacing w:after="0" w:line="240" w:lineRule="auto"/>
        <w:ind w:left="360"/>
        <w:jc w:val="both"/>
        <w:rPr>
          <w:rFonts w:ascii="Times New Roman" w:hAnsi="Times New Roman" w:cs="Times New Roman"/>
          <w:sz w:val="24"/>
          <w:szCs w:val="24"/>
          <w:lang w:eastAsia="ko-KR"/>
        </w:rPr>
      </w:pPr>
      <w:r>
        <w:rPr>
          <w:rFonts w:ascii="Times New Roman" w:hAnsi="Times New Roman" w:cs="Times New Roman"/>
          <w:sz w:val="24"/>
          <w:szCs w:val="24"/>
          <w:lang w:eastAsia="ko-KR"/>
        </w:rPr>
        <w:t>- материалы по содержанию итоговой аттестации;</w:t>
      </w:r>
    </w:p>
    <w:p w:rsidR="002C1B88" w:rsidRDefault="002C1B88" w:rsidP="002C1B88">
      <w:pPr>
        <w:spacing w:after="0" w:line="240" w:lineRule="auto"/>
        <w:ind w:left="360"/>
        <w:jc w:val="both"/>
        <w:rPr>
          <w:rFonts w:ascii="Times New Roman" w:hAnsi="Times New Roman" w:cs="Times New Roman"/>
          <w:sz w:val="24"/>
          <w:szCs w:val="24"/>
          <w:lang w:eastAsia="ko-KR"/>
        </w:rPr>
      </w:pPr>
      <w:r>
        <w:rPr>
          <w:rFonts w:ascii="Times New Roman" w:hAnsi="Times New Roman" w:cs="Times New Roman"/>
          <w:sz w:val="24"/>
          <w:szCs w:val="24"/>
          <w:lang w:eastAsia="ko-KR"/>
        </w:rPr>
        <w:t>- сроки проведения итоговой государственной аттестации;</w:t>
      </w:r>
    </w:p>
    <w:p w:rsidR="002C1B88" w:rsidRDefault="002C1B88" w:rsidP="002C1B88">
      <w:pPr>
        <w:spacing w:after="0" w:line="240" w:lineRule="auto"/>
        <w:ind w:left="360"/>
        <w:jc w:val="both"/>
        <w:rPr>
          <w:rFonts w:ascii="Times New Roman" w:hAnsi="Times New Roman" w:cs="Times New Roman"/>
          <w:sz w:val="24"/>
          <w:szCs w:val="24"/>
          <w:lang w:eastAsia="ko-KR"/>
        </w:rPr>
      </w:pPr>
      <w:r>
        <w:rPr>
          <w:rFonts w:ascii="Times New Roman" w:hAnsi="Times New Roman" w:cs="Times New Roman"/>
          <w:sz w:val="24"/>
          <w:szCs w:val="24"/>
          <w:lang w:eastAsia="ko-KR"/>
        </w:rPr>
        <w:t>- условия подготовки и процедуры проведения итоговой государственной аттестации;</w:t>
      </w:r>
    </w:p>
    <w:p w:rsidR="002C1B88" w:rsidRDefault="002C1B88" w:rsidP="002C1B8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eastAsia="ko-KR"/>
        </w:rPr>
        <w:t>- критерии</w:t>
      </w:r>
      <w:r>
        <w:rPr>
          <w:rFonts w:ascii="Times New Roman" w:hAnsi="Times New Roman" w:cs="Times New Roman"/>
          <w:sz w:val="24"/>
          <w:szCs w:val="24"/>
        </w:rPr>
        <w:t xml:space="preserve"> оценки  уровня качества подготовки выпускника.</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Программа государственной итоговой аттестации ежегодно обновляется  предметно-цикловой комиссией технических дисциплин  и утверждается зам. директора </w:t>
      </w:r>
      <w:r>
        <w:rPr>
          <w:rFonts w:ascii="Times New Roman" w:hAnsi="Times New Roman" w:cs="Times New Roman"/>
          <w:sz w:val="24"/>
          <w:szCs w:val="24"/>
        </w:rPr>
        <w:lastRenderedPageBreak/>
        <w:t>учебной работе   после её обсуждения на заседании  комиссии с обязательным участием работодателей.</w:t>
      </w:r>
    </w:p>
    <w:p w:rsidR="002C1B88" w:rsidRDefault="002C1B88" w:rsidP="002C1B88">
      <w:pPr>
        <w:spacing w:after="0" w:line="240" w:lineRule="auto"/>
        <w:ind w:firstLine="567"/>
        <w:jc w:val="both"/>
        <w:rPr>
          <w:rFonts w:ascii="Times New Roman" w:hAnsi="Times New Roman" w:cs="Times New Roman"/>
          <w:sz w:val="24"/>
          <w:szCs w:val="24"/>
        </w:rPr>
      </w:pPr>
    </w:p>
    <w:p w:rsidR="002C1B88" w:rsidRDefault="002C1B88" w:rsidP="002C1B88">
      <w:pPr>
        <w:spacing w:after="0" w:line="240" w:lineRule="auto"/>
        <w:ind w:firstLine="567"/>
        <w:jc w:val="both"/>
        <w:rPr>
          <w:rFonts w:ascii="Times New Roman" w:hAnsi="Times New Roman" w:cs="Times New Roman"/>
          <w:sz w:val="24"/>
          <w:szCs w:val="24"/>
        </w:rPr>
      </w:pPr>
    </w:p>
    <w:p w:rsidR="002C1B88" w:rsidRDefault="002C1B88" w:rsidP="002C1B88">
      <w:pPr>
        <w:spacing w:after="0" w:line="240" w:lineRule="auto"/>
        <w:ind w:firstLine="567"/>
        <w:jc w:val="both"/>
        <w:rPr>
          <w:rFonts w:ascii="Times New Roman" w:hAnsi="Times New Roman" w:cs="Times New Roman"/>
          <w:sz w:val="24"/>
          <w:szCs w:val="24"/>
        </w:rPr>
      </w:pPr>
    </w:p>
    <w:p w:rsidR="002C1B88" w:rsidRDefault="002C1B88" w:rsidP="002C1B88">
      <w:pPr>
        <w:spacing w:after="0" w:line="240" w:lineRule="auto"/>
        <w:ind w:firstLine="567"/>
        <w:jc w:val="both"/>
        <w:rPr>
          <w:rFonts w:ascii="Times New Roman" w:hAnsi="Times New Roman" w:cs="Times New Roman"/>
          <w:sz w:val="24"/>
          <w:szCs w:val="24"/>
        </w:rPr>
      </w:pPr>
    </w:p>
    <w:p w:rsidR="002C1B88" w:rsidRDefault="002C1B88" w:rsidP="002C1B8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ПАСПОРТ ПРОГРАММЫ ГОСУДАРСТВЕННОЙ (ИТОГОВОЙ) АТТЕСТАЦИИ</w:t>
      </w:r>
    </w:p>
    <w:p w:rsidR="002C1B88" w:rsidRDefault="002C1B88" w:rsidP="002C1B8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b/>
          <w:sz w:val="24"/>
          <w:szCs w:val="24"/>
        </w:rPr>
        <w:t>Область применения программы ГИА</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государственной (итоговой) аттестации (далее программа ГИА) – является частью программы профессиональной подготовки квалифицированных рабочих в соответствии с ФГОС по профессии  </w:t>
      </w:r>
      <w:r w:rsidR="00E70498">
        <w:rPr>
          <w:rFonts w:ascii="Times New Roman" w:hAnsi="Times New Roman" w:cs="Times New Roman"/>
          <w:sz w:val="24"/>
          <w:szCs w:val="24"/>
        </w:rPr>
        <w:t>3</w:t>
      </w:r>
      <w:r>
        <w:rPr>
          <w:rFonts w:ascii="Times New Roman" w:hAnsi="Times New Roman" w:cs="Times New Roman"/>
          <w:sz w:val="24"/>
          <w:szCs w:val="24"/>
        </w:rPr>
        <w:t>5.01.2</w:t>
      </w:r>
      <w:r w:rsidR="00E70498">
        <w:rPr>
          <w:rFonts w:ascii="Times New Roman" w:hAnsi="Times New Roman" w:cs="Times New Roman"/>
          <w:sz w:val="24"/>
          <w:szCs w:val="24"/>
        </w:rPr>
        <w:t>7</w:t>
      </w:r>
      <w:r>
        <w:rPr>
          <w:rFonts w:ascii="Times New Roman" w:hAnsi="Times New Roman" w:cs="Times New Roman"/>
          <w:sz w:val="24"/>
          <w:szCs w:val="24"/>
        </w:rPr>
        <w:t xml:space="preserve"> «</w:t>
      </w:r>
      <w:r w:rsidR="00E70498" w:rsidRPr="00E70498">
        <w:rPr>
          <w:rFonts w:ascii="Times New Roman" w:hAnsi="Times New Roman" w:cs="Times New Roman"/>
          <w:sz w:val="24"/>
          <w:szCs w:val="24"/>
        </w:rPr>
        <w:t>Мастер сельскохозяйственного производства</w:t>
      </w:r>
      <w:r>
        <w:rPr>
          <w:rFonts w:ascii="Times New Roman" w:hAnsi="Times New Roman" w:cs="Times New Roman"/>
          <w:sz w:val="24"/>
          <w:szCs w:val="24"/>
        </w:rPr>
        <w:t xml:space="preserve">»  в части освоения </w:t>
      </w:r>
      <w:r>
        <w:rPr>
          <w:rFonts w:ascii="Times New Roman" w:hAnsi="Times New Roman" w:cs="Times New Roman"/>
          <w:b/>
          <w:sz w:val="24"/>
          <w:szCs w:val="24"/>
        </w:rPr>
        <w:t>вида  профессиональной деятельности</w:t>
      </w:r>
      <w:r w:rsidR="00561672">
        <w:rPr>
          <w:rFonts w:ascii="Times New Roman" w:hAnsi="Times New Roman" w:cs="Times New Roman"/>
          <w:sz w:val="24"/>
          <w:szCs w:val="24"/>
        </w:rPr>
        <w:t xml:space="preserve"> (ВПД) профессии.</w:t>
      </w:r>
    </w:p>
    <w:p w:rsidR="00561672" w:rsidRDefault="00561672" w:rsidP="002C1B88">
      <w:pPr>
        <w:spacing w:after="0" w:line="240" w:lineRule="auto"/>
        <w:ind w:firstLine="567"/>
        <w:jc w:val="both"/>
        <w:rPr>
          <w:rFonts w:ascii="Times New Roman" w:hAnsi="Times New Roman" w:cs="Times New Roman"/>
          <w:sz w:val="24"/>
          <w:szCs w:val="24"/>
        </w:rPr>
      </w:pPr>
    </w:p>
    <w:p w:rsidR="002C1B88" w:rsidRDefault="002C1B88" w:rsidP="002C1B8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 Цели и задачи государственной (итоговой) аттестации (ГИА)</w:t>
      </w:r>
    </w:p>
    <w:p w:rsidR="002C1B88" w:rsidRDefault="002C1B88" w:rsidP="002C1B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 </w:t>
      </w:r>
    </w:p>
    <w:p w:rsidR="002C1B88" w:rsidRDefault="002C1B88" w:rsidP="002C1B88">
      <w:pPr>
        <w:spacing w:after="0" w:line="240" w:lineRule="auto"/>
        <w:ind w:firstLine="567"/>
        <w:rPr>
          <w:rFonts w:ascii="Times New Roman" w:hAnsi="Times New Roman" w:cs="Times New Roman"/>
          <w:sz w:val="24"/>
          <w:szCs w:val="24"/>
        </w:rPr>
      </w:pPr>
    </w:p>
    <w:p w:rsidR="002C1B88" w:rsidRDefault="002C1B88" w:rsidP="002C1B8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1.3. Количество часов, отводимое на государственную (итоговую) аттестацию:</w:t>
      </w:r>
    </w:p>
    <w:p w:rsidR="00561672" w:rsidRDefault="00561672" w:rsidP="00561672">
      <w:pPr>
        <w:spacing w:after="0"/>
        <w:ind w:right="-319" w:firstLine="567"/>
        <w:rPr>
          <w:rFonts w:ascii="Times New Roman" w:hAnsi="Times New Roman" w:cs="Times New Roman"/>
          <w:sz w:val="24"/>
          <w:szCs w:val="24"/>
        </w:rPr>
      </w:pPr>
      <w:r>
        <w:rPr>
          <w:rFonts w:ascii="Times New Roman" w:hAnsi="Times New Roman" w:cs="Times New Roman"/>
          <w:sz w:val="24"/>
          <w:szCs w:val="24"/>
        </w:rPr>
        <w:t>Объем времени на подготовку и проведение итоговой государственной аттестации установлен государственными требованиями по  профессии:</w:t>
      </w:r>
    </w:p>
    <w:p w:rsidR="00561672" w:rsidRDefault="00561672" w:rsidP="00561672">
      <w:pPr>
        <w:spacing w:after="0"/>
        <w:ind w:right="-319"/>
        <w:rPr>
          <w:rFonts w:ascii="Times New Roman" w:hAnsi="Times New Roman" w:cs="Times New Roman"/>
          <w:sz w:val="24"/>
          <w:szCs w:val="24"/>
        </w:rPr>
      </w:pPr>
      <w:r>
        <w:rPr>
          <w:rFonts w:ascii="Times New Roman" w:hAnsi="Times New Roman" w:cs="Times New Roman"/>
          <w:sz w:val="24"/>
          <w:szCs w:val="24"/>
        </w:rPr>
        <w:t>- продолжительность производственной ( преддипломной) практики – 8 недель (288часов)</w:t>
      </w:r>
    </w:p>
    <w:p w:rsidR="00561672" w:rsidRDefault="00561672" w:rsidP="005616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демонстрационный экзамен   - 1 неделя (36 часов )  </w:t>
      </w:r>
    </w:p>
    <w:p w:rsidR="00561672" w:rsidRDefault="00561672" w:rsidP="005616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C1B88" w:rsidRDefault="00365695" w:rsidP="002C1B88">
      <w:pPr>
        <w:spacing w:after="0" w:line="240" w:lineRule="auto"/>
        <w:ind w:firstLine="567"/>
        <w:jc w:val="center"/>
        <w:rPr>
          <w:rFonts w:ascii="Times New Roman" w:hAnsi="Times New Roman" w:cs="Times New Roman"/>
          <w:b/>
          <w:sz w:val="24"/>
          <w:szCs w:val="24"/>
          <w:lang w:eastAsia="ko-KR"/>
        </w:rPr>
      </w:pPr>
      <w:r>
        <w:rPr>
          <w:rFonts w:ascii="Times New Roman" w:hAnsi="Times New Roman" w:cs="Times New Roman"/>
          <w:b/>
          <w:sz w:val="24"/>
          <w:szCs w:val="24"/>
          <w:lang w:eastAsia="ko-KR"/>
        </w:rPr>
        <w:t>2</w:t>
      </w:r>
      <w:r w:rsidR="002C1B88">
        <w:rPr>
          <w:rFonts w:ascii="Times New Roman" w:hAnsi="Times New Roman" w:cs="Times New Roman"/>
          <w:b/>
          <w:sz w:val="24"/>
          <w:szCs w:val="24"/>
          <w:lang w:eastAsia="ko-KR"/>
        </w:rPr>
        <w:t>. УСЛОВИЯ РЕАЛИЗАЦИИ ПРОГРАММЫ ГОСУДАРСТВЕННОЙ ИТОГОВОЙ АТТЕСТАЦИИ</w:t>
      </w:r>
    </w:p>
    <w:p w:rsidR="00365695" w:rsidRDefault="00365695" w:rsidP="002C1B88">
      <w:pPr>
        <w:spacing w:after="0" w:line="240" w:lineRule="auto"/>
        <w:ind w:firstLine="567"/>
        <w:jc w:val="center"/>
        <w:rPr>
          <w:rFonts w:ascii="Times New Roman" w:hAnsi="Times New Roman" w:cs="Times New Roman"/>
          <w:b/>
          <w:sz w:val="24"/>
          <w:szCs w:val="24"/>
          <w:lang w:eastAsia="ko-KR"/>
        </w:rPr>
      </w:pPr>
    </w:p>
    <w:p w:rsidR="00A6315C" w:rsidRDefault="00E165FF" w:rsidP="00A6315C">
      <w:pPr>
        <w:rPr>
          <w:rFonts w:ascii="Times New Roman" w:hAnsi="Times New Roman" w:cs="Times New Roman"/>
          <w:b/>
          <w:sz w:val="24"/>
          <w:szCs w:val="24"/>
        </w:rPr>
      </w:pPr>
      <w:r>
        <w:rPr>
          <w:rFonts w:ascii="Times New Roman" w:hAnsi="Times New Roman" w:cs="Times New Roman"/>
          <w:b/>
          <w:sz w:val="24"/>
          <w:szCs w:val="24"/>
        </w:rPr>
        <w:t xml:space="preserve">                                               </w:t>
      </w:r>
      <w:r w:rsidR="00A6315C">
        <w:rPr>
          <w:rFonts w:ascii="Times New Roman" w:hAnsi="Times New Roman" w:cs="Times New Roman"/>
          <w:b/>
          <w:sz w:val="24"/>
          <w:szCs w:val="24"/>
        </w:rPr>
        <w:t xml:space="preserve">Демонстрационный экзамен                                                                                           </w:t>
      </w:r>
    </w:p>
    <w:p w:rsidR="00A6315C" w:rsidRDefault="00A6315C" w:rsidP="00A6315C">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Целью проведения демонстрационного экзамена является определение соответствия образовательных программ среднего профессионального образования требованиям федеральных государственных образовательных стандартов СПО по соответствующим компетенциям. </w:t>
      </w:r>
    </w:p>
    <w:p w:rsidR="0028133A" w:rsidRDefault="00E165FF" w:rsidP="00A6315C">
      <w:pPr>
        <w:rPr>
          <w:rFonts w:ascii="Times New Roman" w:hAnsi="Times New Roman" w:cs="Times New Roman"/>
          <w:sz w:val="24"/>
          <w:szCs w:val="24"/>
        </w:rPr>
      </w:pPr>
      <w:r>
        <w:rPr>
          <w:rFonts w:ascii="Times New Roman" w:hAnsi="Times New Roman" w:cs="Times New Roman"/>
          <w:b/>
          <w:sz w:val="24"/>
          <w:szCs w:val="24"/>
        </w:rPr>
        <w:t>2</w:t>
      </w:r>
      <w:r w:rsidR="00365695">
        <w:rPr>
          <w:rFonts w:ascii="Times New Roman" w:hAnsi="Times New Roman" w:cs="Times New Roman"/>
          <w:b/>
          <w:sz w:val="24"/>
          <w:szCs w:val="24"/>
        </w:rPr>
        <w:t>.</w:t>
      </w:r>
      <w:r w:rsidR="00A6315C">
        <w:rPr>
          <w:rFonts w:ascii="Times New Roman" w:hAnsi="Times New Roman" w:cs="Times New Roman"/>
          <w:b/>
          <w:sz w:val="24"/>
          <w:szCs w:val="24"/>
        </w:rPr>
        <w:t>1 Порядок организации подготовки демонстрационного экзамена</w:t>
      </w:r>
      <w:r w:rsidR="00A6315C">
        <w:rPr>
          <w:rFonts w:ascii="Times New Roman" w:hAnsi="Times New Roman" w:cs="Times New Roman"/>
          <w:sz w:val="24"/>
          <w:szCs w:val="24"/>
        </w:rPr>
        <w:t xml:space="preserve">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ДЭ по каждой компетенции проводится на площадке образовательной организации, имеющей аккредитацию в качестве Центра проведения демонстрационного экзамена.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              ДЭ проводится с утверждением заданий национальными экспертами, введением результатов в международную информационную систему, обязательным участием сертифицированного эксперта в качестве главного эксперта на площадке, не  работающего в данной образовательной организации, чьи обучающиеся участвуют в ДЭ.                                                                                           Принимаются согласия на обработку персональный данных участников ДЭ (не менее чем за 2 месяца до даты начала проведения). Задания, применяемые оценочные средства и </w:t>
      </w:r>
      <w:r>
        <w:rPr>
          <w:rFonts w:ascii="Times New Roman" w:hAnsi="Times New Roman" w:cs="Times New Roman"/>
          <w:sz w:val="24"/>
          <w:szCs w:val="24"/>
        </w:rPr>
        <w:lastRenderedPageBreak/>
        <w:t xml:space="preserve">инфраструктурные листы, используемые на ДЭ, являются едиными для всех выпускников, сдающих ДЭ.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  Для проведения ДЭ используются актуальные контрольно-измерительные материалы и инфраструктурные листы, разработанные экспертами на основе конкурсных заданий и критериев оценки чемпионата «</w:t>
      </w:r>
      <w:proofErr w:type="spellStart"/>
      <w:r>
        <w:rPr>
          <w:rFonts w:ascii="Times New Roman" w:hAnsi="Times New Roman" w:cs="Times New Roman"/>
          <w:sz w:val="24"/>
          <w:szCs w:val="24"/>
        </w:rPr>
        <w:t>Профессионалитет</w:t>
      </w:r>
      <w:proofErr w:type="spellEnd"/>
      <w:r>
        <w:rPr>
          <w:rFonts w:ascii="Times New Roman" w:hAnsi="Times New Roman" w:cs="Times New Roman"/>
          <w:sz w:val="24"/>
          <w:szCs w:val="24"/>
        </w:rPr>
        <w:t>» предыдущего года.                                                                                              Задания утверждаются экспертом не позднее, чем за1 месяц до проведения ДЭ.                                                                                                                                                За 6 месяцев до проведения ДЭ ответственный за организацию ДЭ от профессии должен довести до сведения обучающихся задания экзамена, критерии оценки и инфраструктурные листы по указанным компетенциям, разработанные и опубликованные в специальном разделе на официальном сайте .</w:t>
      </w:r>
    </w:p>
    <w:p w:rsidR="00A6315C" w:rsidRDefault="00E165FF" w:rsidP="00A6315C">
      <w:pPr>
        <w:rPr>
          <w:rFonts w:ascii="Times New Roman" w:hAnsi="Times New Roman" w:cs="Times New Roman"/>
          <w:sz w:val="24"/>
          <w:szCs w:val="24"/>
        </w:rPr>
      </w:pPr>
      <w:r>
        <w:rPr>
          <w:rFonts w:ascii="Times New Roman" w:hAnsi="Times New Roman" w:cs="Times New Roman"/>
          <w:sz w:val="24"/>
          <w:szCs w:val="24"/>
        </w:rPr>
        <w:t>2</w:t>
      </w:r>
      <w:r w:rsidR="00365695">
        <w:rPr>
          <w:rFonts w:ascii="Times New Roman" w:hAnsi="Times New Roman" w:cs="Times New Roman"/>
          <w:sz w:val="24"/>
          <w:szCs w:val="24"/>
        </w:rPr>
        <w:t>.</w:t>
      </w:r>
      <w:r w:rsidR="00A6315C">
        <w:rPr>
          <w:rFonts w:ascii="Times New Roman" w:hAnsi="Times New Roman" w:cs="Times New Roman"/>
          <w:sz w:val="24"/>
          <w:szCs w:val="24"/>
        </w:rPr>
        <w:t>2. Порядок проведения демонстрационного экзамена :</w:t>
      </w:r>
    </w:p>
    <w:p w:rsidR="00A6315C" w:rsidRDefault="00E165FF" w:rsidP="00A6315C">
      <w:pPr>
        <w:rPr>
          <w:rFonts w:ascii="Times New Roman" w:hAnsi="Times New Roman" w:cs="Times New Roman"/>
          <w:sz w:val="24"/>
          <w:szCs w:val="24"/>
        </w:rPr>
      </w:pPr>
      <w:r>
        <w:rPr>
          <w:rFonts w:ascii="Times New Roman" w:hAnsi="Times New Roman" w:cs="Times New Roman"/>
          <w:sz w:val="24"/>
          <w:szCs w:val="24"/>
        </w:rPr>
        <w:t>2</w:t>
      </w:r>
      <w:r w:rsidR="00A6315C">
        <w:rPr>
          <w:rFonts w:ascii="Times New Roman" w:hAnsi="Times New Roman" w:cs="Times New Roman"/>
          <w:sz w:val="24"/>
          <w:szCs w:val="24"/>
        </w:rPr>
        <w:t xml:space="preserve">.2.1 ДЭ проводится в несколько этапов:                                                                                                            - проверка и настройка оборудования экспертами;                                                                                                                      - инструктаж;                                                                                                                                     - экзамен;                                                                                                                                                          - подведение итогов и оглашение результатов.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          Проверка и настройка оборудования экспертами.                                                                        В день проведения ДЭ, за один час до его начала, эксперты:                                                                          - проводят проверку на предмет обнаружения запрещенных материалов, инструментов или оборудования, в соответствии с Техническим описанием, настройку оборудования, указанного в инфраструктурном листе;                                                                                                                     - передают обучающимся задания.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              Инструктаж:                                                                                                                                    - за день до проведения экзамена по методике участники встречаются на площадке для прохождения инструктажа ОТ и ТБ и знакомства с площадкой (инструментами, оборудованием, материалами и т.д.).                                                                              </w:t>
      </w:r>
      <w:r w:rsidR="0028133A">
        <w:rPr>
          <w:rFonts w:ascii="Times New Roman" w:hAnsi="Times New Roman" w:cs="Times New Roman"/>
          <w:sz w:val="24"/>
          <w:szCs w:val="24"/>
        </w:rPr>
        <w:t xml:space="preserve">                                       </w:t>
      </w:r>
      <w:r>
        <w:rPr>
          <w:rFonts w:ascii="Times New Roman" w:hAnsi="Times New Roman" w:cs="Times New Roman"/>
          <w:sz w:val="24"/>
          <w:szCs w:val="24"/>
        </w:rPr>
        <w:t xml:space="preserve"> - в случае отсутствия участника на инструктаже по ОТ и ТБ, он не допускается к ДЭ.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           Экзамен:                                                                                                                                                                       - время начала и завершения выполне</w:t>
      </w:r>
      <w:r w:rsidR="0028133A">
        <w:rPr>
          <w:rFonts w:ascii="Times New Roman" w:hAnsi="Times New Roman" w:cs="Times New Roman"/>
          <w:sz w:val="24"/>
          <w:szCs w:val="24"/>
        </w:rPr>
        <w:t>ния заданий регулируется главным</w:t>
      </w:r>
      <w:r>
        <w:rPr>
          <w:rFonts w:ascii="Times New Roman" w:hAnsi="Times New Roman" w:cs="Times New Roman"/>
          <w:sz w:val="24"/>
          <w:szCs w:val="24"/>
        </w:rPr>
        <w:t xml:space="preserve"> эксперт</w:t>
      </w:r>
      <w:r w:rsidR="0028133A">
        <w:rPr>
          <w:rFonts w:ascii="Times New Roman" w:hAnsi="Times New Roman" w:cs="Times New Roman"/>
          <w:sz w:val="24"/>
          <w:szCs w:val="24"/>
        </w:rPr>
        <w:t>ом</w:t>
      </w:r>
      <w:r>
        <w:rPr>
          <w:rFonts w:ascii="Times New Roman" w:hAnsi="Times New Roman" w:cs="Times New Roman"/>
          <w:sz w:val="24"/>
          <w:szCs w:val="24"/>
        </w:rPr>
        <w:t xml:space="preserve">. В случай опоздания к началу выполнения заданий по уважительной причине обучающийся, допускается, но время на выполнение заданий не добавляется.                                                                                                                             Обучающийся должен иметь при себе:                                                                        - студенческий билет;                                                                                                                                                 - документ, удостоверяющий личность.                                                                                                    Задания выполняются по модулям. Все требования, указанные в задании и инфраструктурном листе, правилах по ОТ и ТБ, критериях оценивания, являются обязательными для исполнения всеми участниками. В ходе выполнения обучающимся разрешается задавать вопросы только экспертам. Участники, нарушающие правила проведения ДЭ, по решению главного эксперта отстраняются от экзамена. В случае поломки оборудования и его замены (не по вине обучающегося) обучающемуся предоставляется дополнительное время. Факт несоблюдения обучающимся указаний или инструкций по ОТ и ТБ влияет на итоговую оценку результата ДЭ.                                    </w:t>
      </w:r>
    </w:p>
    <w:p w:rsidR="00A6315C" w:rsidRPr="0028133A" w:rsidRDefault="00A6315C" w:rsidP="00A6315C">
      <w:pPr>
        <w:rPr>
          <w:rFonts w:ascii="Times New Roman" w:hAnsi="Times New Roman" w:cs="Times New Roman"/>
          <w:b/>
          <w:sz w:val="24"/>
          <w:szCs w:val="24"/>
        </w:rPr>
      </w:pPr>
      <w:r w:rsidRPr="0028133A">
        <w:rPr>
          <w:rFonts w:ascii="Times New Roman" w:hAnsi="Times New Roman" w:cs="Times New Roman"/>
          <w:b/>
          <w:sz w:val="24"/>
          <w:szCs w:val="24"/>
        </w:rPr>
        <w:lastRenderedPageBreak/>
        <w:t xml:space="preserve">             Подведение итогов: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          Решение экзаменационной комиссии об успешном освоении компетенции принимаются на основании критериев оценки. Результаты ДЭ отражаются в ведомости оценок. После выполнения задания рабочее место, включая материалы, инструменты и оборудование, должны быть убраны. Все решения экзаменационных комиссий оформляются протоколом. Протоколы ДЭ хранятся в архиве образовательной организации и РКЦ.                                                               </w:t>
      </w:r>
    </w:p>
    <w:p w:rsidR="00A6315C" w:rsidRDefault="00365695" w:rsidP="00A6315C">
      <w:pPr>
        <w:rPr>
          <w:rFonts w:ascii="Times New Roman" w:hAnsi="Times New Roman" w:cs="Times New Roman"/>
          <w:sz w:val="24"/>
          <w:szCs w:val="24"/>
        </w:rPr>
      </w:pPr>
      <w:r>
        <w:rPr>
          <w:rFonts w:ascii="Times New Roman" w:hAnsi="Times New Roman" w:cs="Times New Roman"/>
          <w:sz w:val="24"/>
          <w:szCs w:val="24"/>
        </w:rPr>
        <w:t xml:space="preserve">            </w:t>
      </w:r>
      <w:r w:rsidR="00E165FF">
        <w:rPr>
          <w:rFonts w:ascii="Times New Roman" w:hAnsi="Times New Roman" w:cs="Times New Roman"/>
          <w:sz w:val="24"/>
          <w:szCs w:val="24"/>
        </w:rPr>
        <w:t>2</w:t>
      </w:r>
      <w:r w:rsidR="00A6315C">
        <w:rPr>
          <w:rFonts w:ascii="Times New Roman" w:hAnsi="Times New Roman" w:cs="Times New Roman"/>
          <w:sz w:val="24"/>
          <w:szCs w:val="24"/>
        </w:rPr>
        <w:t xml:space="preserve">.2.2. Оценка экзаменационных заданий.                                                                                Для оценки знаний, умений и навыков обучающихся ДЭ создается экзаменационная комиссия по каждой компетенции из числа экспертов, заявленных в РКЦ образовательной организацией. Возглавляет комиссию главный эксперт, который организует и контролирует деятельность комиссии, обеспечивает единство требований, предъявляемых к участникам.                                     </w:t>
      </w:r>
      <w:r w:rsidR="0028133A">
        <w:rPr>
          <w:rFonts w:ascii="Times New Roman" w:hAnsi="Times New Roman" w:cs="Times New Roman"/>
          <w:sz w:val="24"/>
          <w:szCs w:val="24"/>
        </w:rPr>
        <w:t xml:space="preserve">                                                                                                       </w:t>
      </w:r>
      <w:r w:rsidR="00A6315C">
        <w:rPr>
          <w:rFonts w:ascii="Times New Roman" w:hAnsi="Times New Roman" w:cs="Times New Roman"/>
          <w:sz w:val="24"/>
          <w:szCs w:val="24"/>
        </w:rPr>
        <w:t xml:space="preserve">Комиссия выполняет следующие функции:                                                                                                   - оценивает выполнение участниками заданий;                                                                                                                  - осуществляет контроль за соблюдением Положения;                                                                            - поводит итоги.                                                                                                                                 Выполнение задания оценивается в соответствии с процедурами оценки по компетенции. Все баллы фиксируются в ведомостях оценок В случае, когда обучающемуся не удалось выполнить задания, то количество баллов равно нулю.                                                                              Оценку выполнения задания по каждой компетенции проводит комиссия в количестве не менее 3 (трёх) человек при наличии только объективных критериев оценки и не менее 5 (пяти) – при наличии объективных и субъективных критериев оценки.                                                                                                             В процессе оценки выполненных работ члены комиссии заполняют поля критериев, выставляя вес в баллах от 0 до 100. Оценивание не должно проводиться в присутствии обучающегося, если иное не указанно в Техническом описании. Члены экзаменационной комиссии подписывают итоговый протокол. Все выполненные задания необходимо хранить до того момента, пока результаты ДЭ не будут утверждены. При невозможности хранения 18 выполненных заданий по техническим причинам, делаются фотографии под контролем главных экспертов. По завершении ДЭ выдает студентам сертификаты с указанием набранных баллов, а членам комиссии – сертификаты эксперта соответствующей компетенции.                                                                                       </w:t>
      </w:r>
    </w:p>
    <w:p w:rsidR="00A6315C" w:rsidRDefault="00A6315C" w:rsidP="00A6315C">
      <w:pPr>
        <w:rPr>
          <w:rFonts w:ascii="Times New Roman" w:hAnsi="Times New Roman" w:cs="Times New Roman"/>
          <w:sz w:val="24"/>
          <w:szCs w:val="24"/>
        </w:rPr>
      </w:pPr>
      <w:r>
        <w:rPr>
          <w:rFonts w:ascii="Times New Roman" w:hAnsi="Times New Roman" w:cs="Times New Roman"/>
          <w:b/>
          <w:sz w:val="24"/>
          <w:szCs w:val="24"/>
        </w:rPr>
        <w:t xml:space="preserve">                </w:t>
      </w:r>
      <w:r w:rsidR="00E165FF">
        <w:rPr>
          <w:rFonts w:ascii="Times New Roman" w:hAnsi="Times New Roman" w:cs="Times New Roman"/>
          <w:b/>
          <w:sz w:val="24"/>
          <w:szCs w:val="24"/>
        </w:rPr>
        <w:t>2</w:t>
      </w:r>
      <w:r>
        <w:rPr>
          <w:rFonts w:ascii="Times New Roman" w:hAnsi="Times New Roman" w:cs="Times New Roman"/>
          <w:b/>
          <w:sz w:val="24"/>
          <w:szCs w:val="24"/>
        </w:rPr>
        <w:t>.</w:t>
      </w:r>
      <w:r w:rsidR="00E165FF">
        <w:rPr>
          <w:rFonts w:ascii="Times New Roman" w:hAnsi="Times New Roman" w:cs="Times New Roman"/>
          <w:b/>
          <w:sz w:val="24"/>
          <w:szCs w:val="24"/>
        </w:rPr>
        <w:t>3</w:t>
      </w:r>
      <w:r>
        <w:rPr>
          <w:rFonts w:ascii="Times New Roman" w:hAnsi="Times New Roman" w:cs="Times New Roman"/>
          <w:b/>
          <w:sz w:val="24"/>
          <w:szCs w:val="24"/>
        </w:rPr>
        <w:t xml:space="preserve"> Порядок подачи и рассмотрения апелляции</w:t>
      </w:r>
      <w:r>
        <w:rPr>
          <w:rFonts w:ascii="Times New Roman" w:hAnsi="Times New Roman" w:cs="Times New Roman"/>
          <w:sz w:val="24"/>
          <w:szCs w:val="24"/>
        </w:rPr>
        <w:t xml:space="preserve">                                                              </w:t>
      </w:r>
    </w:p>
    <w:p w:rsidR="00A6315C" w:rsidRDefault="00A6315C" w:rsidP="00A6315C">
      <w:pPr>
        <w:rPr>
          <w:rFonts w:ascii="Times New Roman" w:hAnsi="Times New Roman" w:cs="Times New Roman"/>
          <w:sz w:val="24"/>
          <w:szCs w:val="24"/>
        </w:rPr>
      </w:pPr>
      <w:r>
        <w:rPr>
          <w:rFonts w:ascii="Times New Roman" w:hAnsi="Times New Roman" w:cs="Times New Roman"/>
          <w:sz w:val="24"/>
          <w:szCs w:val="24"/>
        </w:rPr>
        <w:t xml:space="preserve">           По результатам ГИА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несогласия с ее результатами. Апелляция подается лично выпускником или родителем (законным представителем) несовершеннолетнего выпускника в апелляционную комиссию по специальности. Апелляция о нарушении порядка проведения ГИА подается непосредственно в день проведения ГИА. Апелляция о несогласии с результатами ГИА подается не позднее следующего рабочего дня после объявления результатов ГИА.   Апелляция рассматривается комиссией не позднее 3 рабочих дней с момента поступления на заседании комиссии с участием не менее двух третей ее состава. Выпускник, подавший апелляцию, имеет право присутствовать при </w:t>
      </w:r>
      <w:r>
        <w:rPr>
          <w:rFonts w:ascii="Times New Roman" w:hAnsi="Times New Roman" w:cs="Times New Roman"/>
          <w:sz w:val="24"/>
          <w:szCs w:val="24"/>
        </w:rPr>
        <w:lastRenderedPageBreak/>
        <w:t>рассмотрении апелляции. С несовершеннолетним выпускником имеет право присутствовать один из его родителей (законных представителей). Рассмотрение апелляции не является пересдачей ГИА. Решение апелляционной комиссии доводится до сведения подавшего апелляцию выпускника (под подпись) в течение 3 рабочих дней со дня заседания комиссии. Решение апелляционной комиссии является окончательным и пересмотру не подлежит.</w:t>
      </w:r>
    </w:p>
    <w:p w:rsidR="00A6315C" w:rsidRDefault="00A6315C" w:rsidP="00A6315C">
      <w:pPr>
        <w:rPr>
          <w:rFonts w:ascii="Times New Roman" w:hAnsi="Times New Roman" w:cs="Times New Roman"/>
          <w:sz w:val="24"/>
          <w:szCs w:val="24"/>
        </w:rPr>
      </w:pPr>
    </w:p>
    <w:p w:rsidR="00A6315C" w:rsidRDefault="00A6315C" w:rsidP="00A6315C"/>
    <w:p w:rsidR="002C1B88" w:rsidRDefault="002C1B88" w:rsidP="002C1B88">
      <w:pPr>
        <w:spacing w:line="240" w:lineRule="auto"/>
        <w:ind w:firstLine="567"/>
        <w:jc w:val="both"/>
        <w:rPr>
          <w:rFonts w:ascii="Times New Roman" w:hAnsi="Times New Roman" w:cs="Times New Roman"/>
          <w:b/>
          <w:sz w:val="24"/>
          <w:szCs w:val="24"/>
          <w:lang w:eastAsia="ko-KR"/>
        </w:rPr>
      </w:pPr>
      <w:r>
        <w:rPr>
          <w:rFonts w:ascii="Times New Roman" w:hAnsi="Times New Roman" w:cs="Times New Roman"/>
          <w:b/>
          <w:sz w:val="24"/>
          <w:szCs w:val="24"/>
          <w:lang w:eastAsia="ko-KR"/>
        </w:rPr>
        <w:t>3.2 Информационное обеспечение ГИА</w:t>
      </w:r>
    </w:p>
    <w:p w:rsidR="002C1B88" w:rsidRDefault="002C1B88" w:rsidP="002C1B88">
      <w:pPr>
        <w:spacing w:after="0" w:line="240" w:lineRule="auto"/>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  ФГОС, Учебные планы</w:t>
      </w:r>
    </w:p>
    <w:p w:rsidR="002C1B88" w:rsidRDefault="002C1B88" w:rsidP="002C1B88">
      <w:pPr>
        <w:spacing w:after="0" w:line="240" w:lineRule="auto"/>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2. Программа государственной итоговой аттестации</w:t>
      </w:r>
    </w:p>
    <w:p w:rsidR="002C1B88" w:rsidRDefault="0028133A" w:rsidP="002C1B88">
      <w:pPr>
        <w:spacing w:after="0" w:line="240" w:lineRule="auto"/>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3</w:t>
      </w:r>
      <w:r w:rsidR="002C1B88">
        <w:rPr>
          <w:rFonts w:ascii="Times New Roman" w:hAnsi="Times New Roman" w:cs="Times New Roman"/>
          <w:sz w:val="24"/>
          <w:szCs w:val="24"/>
          <w:lang w:eastAsia="ko-KR"/>
        </w:rPr>
        <w:t>. Литература по профессии.</w:t>
      </w:r>
    </w:p>
    <w:p w:rsidR="002C1B88" w:rsidRDefault="0028133A" w:rsidP="002C1B88">
      <w:pPr>
        <w:spacing w:after="0" w:line="240" w:lineRule="auto"/>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4</w:t>
      </w:r>
      <w:r w:rsidR="002C1B88">
        <w:rPr>
          <w:rFonts w:ascii="Times New Roman" w:hAnsi="Times New Roman" w:cs="Times New Roman"/>
          <w:sz w:val="24"/>
          <w:szCs w:val="24"/>
          <w:lang w:eastAsia="ko-KR"/>
        </w:rPr>
        <w:t>. Периодические издания по профессии.</w:t>
      </w:r>
    </w:p>
    <w:p w:rsidR="002C1B88" w:rsidRDefault="002C1B88" w:rsidP="002C1B88">
      <w:pPr>
        <w:spacing w:after="0" w:line="240" w:lineRule="auto"/>
        <w:ind w:firstLine="567"/>
        <w:jc w:val="both"/>
        <w:rPr>
          <w:rFonts w:ascii="Times New Roman" w:hAnsi="Times New Roman" w:cs="Times New Roman"/>
          <w:sz w:val="24"/>
          <w:szCs w:val="24"/>
          <w:lang w:eastAsia="ko-KR"/>
        </w:rPr>
      </w:pPr>
    </w:p>
    <w:p w:rsidR="00512BCF" w:rsidRDefault="00512BCF"/>
    <w:p w:rsidR="00561672" w:rsidRDefault="00561672"/>
    <w:p w:rsidR="00561672" w:rsidRDefault="00561672"/>
    <w:p w:rsidR="00A6315C" w:rsidRDefault="00A6315C"/>
    <w:p w:rsidR="00A6315C" w:rsidRDefault="00A6315C"/>
    <w:p w:rsidR="0028133A" w:rsidRDefault="0028133A"/>
    <w:p w:rsidR="0028133A" w:rsidRDefault="0028133A"/>
    <w:p w:rsidR="0028133A" w:rsidRDefault="0028133A"/>
    <w:p w:rsidR="0028133A" w:rsidRDefault="0028133A"/>
    <w:p w:rsidR="0028133A" w:rsidRDefault="0028133A"/>
    <w:p w:rsidR="0028133A" w:rsidRDefault="0028133A" w:rsidP="00561672">
      <w:pPr>
        <w:spacing w:after="0"/>
      </w:pPr>
    </w:p>
    <w:p w:rsidR="0028133A" w:rsidRDefault="0028133A"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E165FF" w:rsidRDefault="00E165FF" w:rsidP="00561672">
      <w:pPr>
        <w:spacing w:after="0"/>
      </w:pPr>
    </w:p>
    <w:p w:rsidR="0028133A" w:rsidRDefault="0028133A" w:rsidP="00561672">
      <w:pPr>
        <w:spacing w:after="0"/>
      </w:pPr>
    </w:p>
    <w:p w:rsidR="0028133A" w:rsidRDefault="0028133A" w:rsidP="00561672">
      <w:pPr>
        <w:spacing w:after="0"/>
      </w:pPr>
    </w:p>
    <w:p w:rsidR="00561672" w:rsidRDefault="00561672" w:rsidP="00561672">
      <w:pPr>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561672" w:rsidSect="00512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7AC"/>
    <w:multiLevelType w:val="hybridMultilevel"/>
    <w:tmpl w:val="54DAA8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874CDB"/>
    <w:multiLevelType w:val="hybridMultilevel"/>
    <w:tmpl w:val="9B8483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C1B88"/>
    <w:rsid w:val="0028133A"/>
    <w:rsid w:val="002C1B88"/>
    <w:rsid w:val="00365695"/>
    <w:rsid w:val="00504CEF"/>
    <w:rsid w:val="00512BCF"/>
    <w:rsid w:val="00561672"/>
    <w:rsid w:val="00A30914"/>
    <w:rsid w:val="00A6315C"/>
    <w:rsid w:val="00E165FF"/>
    <w:rsid w:val="00E70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unhideWhenUsed/>
    <w:rsid w:val="002C1B88"/>
    <w:pPr>
      <w:spacing w:after="0" w:line="240" w:lineRule="auto"/>
      <w:ind w:left="566" w:hanging="283"/>
    </w:pPr>
    <w:rPr>
      <w:rFonts w:ascii="Arial" w:eastAsia="Times New Roman" w:hAnsi="Arial" w:cs="Arial"/>
      <w:sz w:val="24"/>
      <w:szCs w:val="28"/>
    </w:rPr>
  </w:style>
  <w:style w:type="paragraph" w:styleId="a3">
    <w:name w:val="Body Text"/>
    <w:basedOn w:val="a"/>
    <w:link w:val="1"/>
    <w:semiHidden/>
    <w:unhideWhenUsed/>
    <w:rsid w:val="002C1B88"/>
    <w:pPr>
      <w:tabs>
        <w:tab w:val="left" w:pos="708"/>
      </w:tabs>
      <w:spacing w:after="120" w:line="240" w:lineRule="auto"/>
    </w:pPr>
    <w:rPr>
      <w:sz w:val="24"/>
      <w:szCs w:val="24"/>
    </w:rPr>
  </w:style>
  <w:style w:type="character" w:customStyle="1" w:styleId="a4">
    <w:name w:val="Основной текст Знак"/>
    <w:basedOn w:val="a0"/>
    <w:link w:val="a3"/>
    <w:uiPriority w:val="99"/>
    <w:semiHidden/>
    <w:rsid w:val="002C1B88"/>
    <w:rPr>
      <w:rFonts w:eastAsiaTheme="minorEastAsia"/>
      <w:lang w:eastAsia="ru-RU"/>
    </w:rPr>
  </w:style>
  <w:style w:type="paragraph" w:styleId="a5">
    <w:name w:val="List Paragraph"/>
    <w:basedOn w:val="a"/>
    <w:uiPriority w:val="34"/>
    <w:qFormat/>
    <w:rsid w:val="002C1B88"/>
    <w:pPr>
      <w:ind w:left="720"/>
      <w:contextualSpacing/>
    </w:pPr>
  </w:style>
  <w:style w:type="paragraph" w:customStyle="1" w:styleId="FR1">
    <w:name w:val="FR1"/>
    <w:rsid w:val="002C1B88"/>
    <w:pPr>
      <w:widowControl w:val="0"/>
      <w:spacing w:before="2800" w:after="0" w:line="300" w:lineRule="auto"/>
      <w:ind w:left="240" w:right="1800"/>
      <w:jc w:val="center"/>
    </w:pPr>
    <w:rPr>
      <w:rFonts w:ascii="Times New Roman" w:eastAsia="Times New Roman" w:hAnsi="Times New Roman" w:cs="Times New Roman"/>
      <w:b/>
      <w:bCs/>
      <w:sz w:val="28"/>
      <w:szCs w:val="28"/>
      <w:lang w:eastAsia="ru-RU"/>
    </w:rPr>
  </w:style>
  <w:style w:type="paragraph" w:customStyle="1" w:styleId="10">
    <w:name w:val="Обычный1"/>
    <w:rsid w:val="002C1B88"/>
    <w:pPr>
      <w:widowControl w:val="0"/>
      <w:snapToGrid w:val="0"/>
      <w:spacing w:after="0" w:line="240" w:lineRule="auto"/>
      <w:ind w:left="920" w:right="2200"/>
      <w:jc w:val="center"/>
    </w:pPr>
    <w:rPr>
      <w:rFonts w:ascii="Times New Roman" w:eastAsia="Times New Roman" w:hAnsi="Times New Roman" w:cs="Times New Roman"/>
      <w:sz w:val="24"/>
      <w:szCs w:val="20"/>
      <w:lang w:eastAsia="ru-RU"/>
    </w:rPr>
  </w:style>
  <w:style w:type="paragraph" w:customStyle="1" w:styleId="FR2">
    <w:name w:val="FR2"/>
    <w:rsid w:val="002C1B88"/>
    <w:pPr>
      <w:widowControl w:val="0"/>
      <w:snapToGrid w:val="0"/>
      <w:spacing w:before="360" w:after="0" w:line="240" w:lineRule="auto"/>
    </w:pPr>
    <w:rPr>
      <w:rFonts w:ascii="Times New Roman" w:eastAsia="Times New Roman" w:hAnsi="Times New Roman" w:cs="Times New Roman"/>
      <w:i/>
      <w:sz w:val="20"/>
      <w:szCs w:val="20"/>
      <w:lang w:eastAsia="ru-RU"/>
    </w:rPr>
  </w:style>
  <w:style w:type="character" w:customStyle="1" w:styleId="a6">
    <w:name w:val="Основной текст_"/>
    <w:basedOn w:val="a0"/>
    <w:link w:val="20"/>
    <w:uiPriority w:val="99"/>
    <w:locked/>
    <w:rsid w:val="002C1B88"/>
    <w:rPr>
      <w:rFonts w:ascii="Times New Roman" w:hAnsi="Times New Roman" w:cs="Times New Roman"/>
      <w:sz w:val="23"/>
      <w:szCs w:val="23"/>
      <w:shd w:val="clear" w:color="auto" w:fill="FFFFFF"/>
    </w:rPr>
  </w:style>
  <w:style w:type="paragraph" w:customStyle="1" w:styleId="20">
    <w:name w:val="Основной текст2"/>
    <w:basedOn w:val="a"/>
    <w:link w:val="a6"/>
    <w:uiPriority w:val="99"/>
    <w:rsid w:val="002C1B88"/>
    <w:pPr>
      <w:widowControl w:val="0"/>
      <w:shd w:val="clear" w:color="auto" w:fill="FFFFFF"/>
      <w:spacing w:before="240" w:after="60" w:line="240" w:lineRule="atLeast"/>
      <w:ind w:hanging="380"/>
    </w:pPr>
    <w:rPr>
      <w:rFonts w:ascii="Times New Roman" w:eastAsiaTheme="minorHAnsi" w:hAnsi="Times New Roman" w:cs="Times New Roman"/>
      <w:sz w:val="23"/>
      <w:szCs w:val="23"/>
      <w:lang w:eastAsia="en-US"/>
    </w:rPr>
  </w:style>
  <w:style w:type="character" w:customStyle="1" w:styleId="1">
    <w:name w:val="Основной текст Знак1"/>
    <w:basedOn w:val="a0"/>
    <w:link w:val="a3"/>
    <w:semiHidden/>
    <w:locked/>
    <w:rsid w:val="002C1B88"/>
    <w:rPr>
      <w:rFonts w:eastAsiaTheme="minorEastAsia"/>
      <w:sz w:val="24"/>
      <w:szCs w:val="24"/>
      <w:lang w:eastAsia="ru-RU"/>
    </w:rPr>
  </w:style>
  <w:style w:type="table" w:styleId="a7">
    <w:name w:val="Table Grid"/>
    <w:basedOn w:val="a1"/>
    <w:uiPriority w:val="59"/>
    <w:rsid w:val="002C1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859940">
      <w:bodyDiv w:val="1"/>
      <w:marLeft w:val="0"/>
      <w:marRight w:val="0"/>
      <w:marTop w:val="0"/>
      <w:marBottom w:val="0"/>
      <w:divBdr>
        <w:top w:val="none" w:sz="0" w:space="0" w:color="auto"/>
        <w:left w:val="none" w:sz="0" w:space="0" w:color="auto"/>
        <w:bottom w:val="none" w:sz="0" w:space="0" w:color="auto"/>
        <w:right w:val="none" w:sz="0" w:space="0" w:color="auto"/>
      </w:divBdr>
    </w:div>
    <w:div w:id="10494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56AFA-77DE-4CFA-B966-528140FA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2024-10-29T12:12:00Z</dcterms:created>
  <dcterms:modified xsi:type="dcterms:W3CDTF">2024-10-29T13:06:00Z</dcterms:modified>
</cp:coreProperties>
</file>